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D4" w:rsidRDefault="00D051D4" w:rsidP="00D05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878" w:rsidRPr="00BD24F7" w:rsidRDefault="001B2878" w:rsidP="00D05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1D4" w:rsidRPr="00E641D1" w:rsidRDefault="00D051D4" w:rsidP="00D05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_____ </w:t>
      </w:r>
    </w:p>
    <w:p w:rsidR="00E641D1" w:rsidRDefault="00E641D1" w:rsidP="00D0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D4" w:rsidRPr="00BD24F7" w:rsidRDefault="00D051D4" w:rsidP="00D0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 » 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641D1" w:rsidRPr="00BD24F7" w:rsidRDefault="00E641D1" w:rsidP="001B2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03257A" w:rsidP="00E6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011568"/>
      <w:bookmarkStart w:id="1" w:name="_Hlk27933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D05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D051D4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</w:t>
      </w:r>
      <w:r w:rsidR="00D0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безопасности в чрезвычайных ситуациях Ярославской области</w:t>
      </w:r>
      <w:r w:rsidR="005D0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51D4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51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51D4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 w:rsidR="00D0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="00D051D4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39-01/76-19  </w:t>
      </w:r>
      <w:r w:rsidR="00D051D4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51D4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 2019 года</w:t>
      </w:r>
      <w:r w:rsidR="00D051D4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</w:t>
      </w:r>
      <w:r w:rsidR="00D051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51D4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D051D4"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 w:rsidR="00D0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76-004</w:t>
      </w:r>
      <w:r w:rsidR="005D0E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51D4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0"/>
      <w:r w:rsidR="00D051D4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D051D4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руководителя</w:t>
      </w:r>
      <w:r w:rsidR="00D0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 </w:t>
      </w:r>
      <w:r w:rsidR="00D05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Анатолия Юрьевича</w:t>
      </w:r>
      <w:r w:rsidR="005D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Хренова</w:t>
      </w:r>
      <w:r w:rsidR="00D051D4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Совета по профессиональным квалификациям</w:t>
      </w:r>
      <w:proofErr w:type="gramEnd"/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безопасности в чрезвычайных ситуациях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E6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2019 г. (Протокол № </w:t>
      </w:r>
      <w:r w:rsidR="00B961AE">
        <w:rPr>
          <w:rFonts w:ascii="Times New Roman" w:eastAsia="Times New Roman" w:hAnsi="Times New Roman" w:cs="Times New Roman"/>
          <w:sz w:val="28"/>
          <w:szCs w:val="28"/>
          <w:lang w:eastAsia="ru-RU"/>
        </w:rPr>
        <w:t>9), с одной стороны, и __________________________________________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96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B961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действующго на основании __________________</w:t>
      </w:r>
    </w:p>
    <w:p w:rsidR="001A4EC7" w:rsidRPr="00BD24F7" w:rsidRDefault="003C4766" w:rsidP="00E6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Default="00674222" w:rsidP="00E6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Pr="00686934" w:rsidRDefault="00674222" w:rsidP="00E6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E6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E641D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E641D1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3C4766"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</w:t>
      </w:r>
      <w:r>
        <w:rPr>
          <w:rFonts w:eastAsia="Times New Roman"/>
          <w:sz w:val="28"/>
          <w:szCs w:val="28"/>
          <w:lang w:eastAsia="ru-RU"/>
        </w:rPr>
        <w:t>,</w:t>
      </w:r>
      <w:r w:rsidR="00674222">
        <w:rPr>
          <w:rFonts w:eastAsia="Times New Roman"/>
          <w:sz w:val="28"/>
          <w:szCs w:val="28"/>
          <w:lang w:eastAsia="ru-RU"/>
        </w:rPr>
        <w:t xml:space="preserve">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</w:t>
      </w:r>
      <w:r w:rsidRPr="00476F5C">
        <w:rPr>
          <w:rFonts w:eastAsia="Times New Roman"/>
          <w:sz w:val="28"/>
          <w:szCs w:val="28"/>
          <w:lang w:eastAsia="ru-RU"/>
        </w:rPr>
        <w:lastRenderedPageBreak/>
        <w:t xml:space="preserve">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E641D1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2.1.2.3. 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  <w:r w:rsidR="00E64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2.2.1.3. уведомить ЦОК не менее чем за сутки до согласованной даты проведения теоретического или практического этапа профессиональн</w:t>
      </w:r>
      <w:r w:rsidR="00E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экзамена в письменной форме;</w:t>
      </w:r>
    </w:p>
    <w:p w:rsidR="00674222" w:rsidRPr="00BD24F7" w:rsidRDefault="00674222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5D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2" w:name="_GoBack"/>
      <w:bookmarkEnd w:id="2"/>
    </w:p>
    <w:p w:rsidR="00674222" w:rsidRDefault="00674222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</w:t>
      </w:r>
      <w:r w:rsidR="00E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в соответствии с Договором;</w:t>
      </w:r>
    </w:p>
    <w:p w:rsidR="006358A4" w:rsidRPr="00BD24F7" w:rsidRDefault="006358A4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:rsidR="006143C6" w:rsidRDefault="006143C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E641D1" w:rsidRDefault="00E641D1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78" w:rsidRDefault="003C4766" w:rsidP="001B28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1B2878" w:rsidRPr="00BD24F7" w:rsidRDefault="001B2878" w:rsidP="001B28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5C" w:rsidRPr="00FB4A03" w:rsidRDefault="003C476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3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</w:t>
      </w:r>
      <w:r w:rsidR="005D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</w:t>
      </w:r>
      <w:proofErr w:type="gramEnd"/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3"/>
    <w:p w:rsidR="003C4766" w:rsidRPr="00BD24F7" w:rsidRDefault="003C476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течении 3-х банковских дней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Default="003C476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E641D1" w:rsidRPr="00BD24F7" w:rsidRDefault="00E641D1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Default="003C476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E641D1" w:rsidRPr="00BD24F7" w:rsidRDefault="00E641D1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E6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641D1" w:rsidRPr="00602EED" w:rsidTr="00A73B2D">
        <w:trPr>
          <w:trHeight w:val="277"/>
        </w:trPr>
        <w:tc>
          <w:tcPr>
            <w:tcW w:w="5070" w:type="dxa"/>
          </w:tcPr>
          <w:p w:rsidR="00E641D1" w:rsidRPr="00602EED" w:rsidRDefault="00E641D1" w:rsidP="00A73B2D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ЦОК:</w:t>
            </w:r>
          </w:p>
        </w:tc>
        <w:tc>
          <w:tcPr>
            <w:tcW w:w="4501" w:type="dxa"/>
          </w:tcPr>
          <w:p w:rsidR="00E641D1" w:rsidRPr="00602EED" w:rsidRDefault="00E641D1" w:rsidP="00A73B2D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Заказчик:</w:t>
            </w:r>
          </w:p>
        </w:tc>
      </w:tr>
      <w:tr w:rsidR="00E641D1" w:rsidTr="00A73B2D">
        <w:tc>
          <w:tcPr>
            <w:tcW w:w="5070" w:type="dxa"/>
          </w:tcPr>
          <w:p w:rsidR="00E641D1" w:rsidRDefault="00E641D1" w:rsidP="00A73B2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r w:rsidRPr="00BD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оценки квалификаций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обеспечения безопасности в чрезвычайных ситуациях Ярославской области»       Юр. адрес: 150051, Российская Федерация, </w:t>
            </w:r>
            <w:r w:rsidRPr="0060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Ярославль,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Серго</w:t>
            </w:r>
            <w:r w:rsidRPr="0060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Орджоникидзе д. 4, корп. 4, кв. 154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Фактический адрес: 150001, Российская Федерация, г. Ярославль, 5-й Луговой переулок, дом 5.                                   тел: 8-910-665-64-49; 8-905-131-00-27</w:t>
            </w:r>
          </w:p>
        </w:tc>
        <w:tc>
          <w:tcPr>
            <w:tcW w:w="4501" w:type="dxa"/>
          </w:tcPr>
          <w:p w:rsidR="00E641D1" w:rsidRDefault="00E641D1" w:rsidP="00A73B2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1D1" w:rsidTr="00A73B2D">
        <w:tc>
          <w:tcPr>
            <w:tcW w:w="5070" w:type="dxa"/>
          </w:tcPr>
          <w:p w:rsidR="00E641D1" w:rsidRPr="00602EED" w:rsidRDefault="00E641D1" w:rsidP="00A73B2D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7603072833 КПП 760301001</w:t>
            </w:r>
          </w:p>
        </w:tc>
        <w:tc>
          <w:tcPr>
            <w:tcW w:w="4501" w:type="dxa"/>
          </w:tcPr>
          <w:p w:rsidR="00E641D1" w:rsidRDefault="00E641D1" w:rsidP="00A73B2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1D1" w:rsidTr="00A73B2D">
        <w:trPr>
          <w:trHeight w:val="593"/>
        </w:trPr>
        <w:tc>
          <w:tcPr>
            <w:tcW w:w="5070" w:type="dxa"/>
          </w:tcPr>
          <w:p w:rsidR="00E641D1" w:rsidRDefault="00E641D1" w:rsidP="00A73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119762702029                           БИК 042908612</w:t>
            </w:r>
          </w:p>
        </w:tc>
        <w:tc>
          <w:tcPr>
            <w:tcW w:w="4501" w:type="dxa"/>
          </w:tcPr>
          <w:p w:rsidR="00E641D1" w:rsidRDefault="00E641D1" w:rsidP="00A73B2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1D1" w:rsidTr="00A73B2D">
        <w:trPr>
          <w:trHeight w:val="1398"/>
        </w:trPr>
        <w:tc>
          <w:tcPr>
            <w:tcW w:w="5070" w:type="dxa"/>
          </w:tcPr>
          <w:p w:rsidR="00E641D1" w:rsidRDefault="00E641D1" w:rsidP="00A73B2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                                         407 028 100 770 300 026 73                       Калужское отделение №8606                  ПАО Сбербанк</w:t>
            </w:r>
          </w:p>
        </w:tc>
        <w:tc>
          <w:tcPr>
            <w:tcW w:w="4501" w:type="dxa"/>
          </w:tcPr>
          <w:p w:rsidR="00E641D1" w:rsidRDefault="00E641D1" w:rsidP="00A73B2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1D1" w:rsidRPr="005D0EDA" w:rsidTr="00A73B2D">
        <w:tc>
          <w:tcPr>
            <w:tcW w:w="5070" w:type="dxa"/>
          </w:tcPr>
          <w:p w:rsidR="00E641D1" w:rsidRPr="007E0EB3" w:rsidRDefault="00E641D1" w:rsidP="00A73B2D">
            <w:pPr>
              <w:spacing w:before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7E0E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E-mail: cokchs76@mail.ru</w:t>
            </w:r>
          </w:p>
        </w:tc>
        <w:tc>
          <w:tcPr>
            <w:tcW w:w="4501" w:type="dxa"/>
          </w:tcPr>
          <w:p w:rsidR="00E641D1" w:rsidRPr="007E0EB3" w:rsidRDefault="00E641D1" w:rsidP="00A73B2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641D1" w:rsidRPr="001F4ADB" w:rsidTr="00A73B2D">
        <w:tc>
          <w:tcPr>
            <w:tcW w:w="5070" w:type="dxa"/>
          </w:tcPr>
          <w:p w:rsidR="00E641D1" w:rsidRDefault="00E641D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  <w:p w:rsidR="00E641D1" w:rsidRDefault="00E641D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E641D1" w:rsidRPr="007E0EB3" w:rsidRDefault="00E641D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/А.Ю.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501" w:type="dxa"/>
          </w:tcPr>
          <w:p w:rsidR="00E641D1" w:rsidRPr="001F4ADB" w:rsidRDefault="00E641D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1D1" w:rsidRPr="001F4ADB" w:rsidTr="00A73B2D">
        <w:tc>
          <w:tcPr>
            <w:tcW w:w="5070" w:type="dxa"/>
          </w:tcPr>
          <w:p w:rsidR="00E641D1" w:rsidRPr="001F4ADB" w:rsidRDefault="00E641D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641D1" w:rsidRDefault="00E641D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</w:t>
            </w:r>
          </w:p>
          <w:p w:rsidR="00E641D1" w:rsidRPr="001F4ADB" w:rsidRDefault="00E641D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/____________/</w:t>
            </w:r>
          </w:p>
        </w:tc>
      </w:tr>
      <w:tr w:rsidR="00E641D1" w:rsidRPr="001F4ADB" w:rsidTr="00A73B2D">
        <w:tc>
          <w:tcPr>
            <w:tcW w:w="5070" w:type="dxa"/>
          </w:tcPr>
          <w:p w:rsidR="00E641D1" w:rsidRPr="001F4ADB" w:rsidRDefault="00E641D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641D1" w:rsidRPr="001F4ADB" w:rsidRDefault="00E641D1" w:rsidP="00A73B2D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</w:tr>
      <w:tr w:rsidR="00E641D1" w:rsidRPr="001F4ADB" w:rsidTr="00A73B2D">
        <w:tc>
          <w:tcPr>
            <w:tcW w:w="5070" w:type="dxa"/>
          </w:tcPr>
          <w:p w:rsidR="00E641D1" w:rsidRPr="001F4ADB" w:rsidRDefault="00E641D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641D1" w:rsidRPr="001F4ADB" w:rsidRDefault="00E641D1" w:rsidP="00A73B2D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</w:tr>
    </w:tbl>
    <w:p w:rsidR="00E641D1" w:rsidRDefault="00E641D1" w:rsidP="00E641D1">
      <w:pPr>
        <w:tabs>
          <w:tab w:val="left" w:pos="5931"/>
        </w:tabs>
      </w:pPr>
    </w:p>
    <w:p w:rsidR="006358A4" w:rsidRDefault="006358A4" w:rsidP="006358A4">
      <w:pPr>
        <w:tabs>
          <w:tab w:val="left" w:pos="5931"/>
        </w:tabs>
      </w:pPr>
    </w:p>
    <w:sectPr w:rsidR="006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66"/>
    <w:rsid w:val="0003257A"/>
    <w:rsid w:val="001A4EC7"/>
    <w:rsid w:val="001B2878"/>
    <w:rsid w:val="001D3174"/>
    <w:rsid w:val="00302F0A"/>
    <w:rsid w:val="003C4766"/>
    <w:rsid w:val="00401DE4"/>
    <w:rsid w:val="00476F5C"/>
    <w:rsid w:val="004A3AAB"/>
    <w:rsid w:val="005D0EDA"/>
    <w:rsid w:val="006143C6"/>
    <w:rsid w:val="006358A4"/>
    <w:rsid w:val="00674222"/>
    <w:rsid w:val="0078405F"/>
    <w:rsid w:val="00B961AE"/>
    <w:rsid w:val="00BC41C4"/>
    <w:rsid w:val="00BE47A5"/>
    <w:rsid w:val="00C80455"/>
    <w:rsid w:val="00D051D4"/>
    <w:rsid w:val="00D05484"/>
    <w:rsid w:val="00D65B8A"/>
    <w:rsid w:val="00DE4B54"/>
    <w:rsid w:val="00E44835"/>
    <w:rsid w:val="00E641D1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6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6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Своеступов М.В.</dc:creator>
  <cp:lastModifiedBy>user</cp:lastModifiedBy>
  <cp:revision>11</cp:revision>
  <cp:lastPrinted>2020-02-26T07:51:00Z</cp:lastPrinted>
  <dcterms:created xsi:type="dcterms:W3CDTF">2020-02-25T07:48:00Z</dcterms:created>
  <dcterms:modified xsi:type="dcterms:W3CDTF">2020-02-26T07:52:00Z</dcterms:modified>
</cp:coreProperties>
</file>